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9E5A8">
      <w:pPr>
        <w:pStyle w:val="13"/>
        <w:keepNext w:val="0"/>
        <w:keepLines w:val="0"/>
        <w:pageBreakBefore w:val="0"/>
        <w:widowControl/>
        <w:kinsoku/>
        <w:wordWrap/>
        <w:overflowPunct w:val="0"/>
        <w:topLinePunct w:val="0"/>
        <w:autoSpaceDE w:val="0"/>
        <w:autoSpaceDN w:val="0"/>
        <w:bidi w:val="0"/>
        <w:adjustRightInd w:val="0"/>
        <w:snapToGrid w:val="0"/>
        <w:spacing w:line="700" w:lineRule="exact"/>
        <w:jc w:val="center"/>
        <w:textAlignment w:val="auto"/>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lang w:val="en-US" w:eastAsia="zh-CN"/>
        </w:rPr>
        <w:t>常州</w:t>
      </w:r>
      <w:r>
        <w:rPr>
          <w:rFonts w:hint="eastAsia" w:ascii="方正公文小标宋" w:hAnsi="方正公文小标宋" w:eastAsia="方正公文小标宋" w:cs="方正公文小标宋"/>
        </w:rPr>
        <w:t>市市区存量房交易资金监管办法（试行）</w:t>
      </w:r>
    </w:p>
    <w:p w14:paraId="40F9F73E">
      <w:pPr>
        <w:adjustRightInd w:val="0"/>
        <w:snapToGrid w:val="0"/>
        <w:spacing w:before="156" w:beforeLines="50" w:line="560" w:lineRule="exact"/>
        <w:jc w:val="center"/>
        <w:rPr>
          <w:rFonts w:ascii="楷体" w:hAnsi="楷体" w:eastAsia="楷体" w:cs="楷体"/>
          <w:sz w:val="32"/>
          <w:szCs w:val="32"/>
        </w:rPr>
      </w:pPr>
      <w:r>
        <w:rPr>
          <w:rFonts w:hint="eastAsia" w:ascii="楷体" w:hAnsi="楷体" w:eastAsia="楷体" w:cs="楷体"/>
          <w:sz w:val="32"/>
          <w:szCs w:val="32"/>
        </w:rPr>
        <w:t>（初稿）</w:t>
      </w:r>
    </w:p>
    <w:p w14:paraId="4C57CD1D">
      <w:pPr>
        <w:adjustRightInd w:val="0"/>
        <w:snapToGrid w:val="0"/>
        <w:spacing w:line="560" w:lineRule="exact"/>
        <w:ind w:firstLine="640" w:firstLineChars="200"/>
        <w:rPr>
          <w:rFonts w:ascii="Times New Roman" w:hAnsi="Times New Roman" w:eastAsia="仿宋_GB2312" w:cs="Times New Roman"/>
          <w:sz w:val="32"/>
          <w:szCs w:val="32"/>
        </w:rPr>
      </w:pPr>
    </w:p>
    <w:p w14:paraId="210BBC9B">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 xml:space="preserve">第一条  </w:t>
      </w:r>
      <w:r>
        <w:rPr>
          <w:rFonts w:hint="eastAsia" w:ascii="仿宋" w:hAnsi="仿宋" w:eastAsia="仿宋" w:cs="仿宋"/>
          <w:sz w:val="32"/>
          <w:szCs w:val="32"/>
        </w:rPr>
        <w:t>为进一步规范存量房交易行为，保障房屋交易资金安全，维护交易双方合法权益，根据</w:t>
      </w:r>
      <w:bookmarkStart w:id="0" w:name="OLE_LINK1"/>
      <w:bookmarkStart w:id="1" w:name="OLE_LINK2"/>
      <w:r>
        <w:rPr>
          <w:rFonts w:hint="eastAsia" w:ascii="仿宋" w:hAnsi="仿宋" w:eastAsia="仿宋" w:cs="仿宋"/>
          <w:sz w:val="32"/>
          <w:szCs w:val="32"/>
        </w:rPr>
        <w:t>《关于加强房地产经纪管理规范交易结算资金账户管理有关问题的通知》（建住房〔2006〕321号）</w:t>
      </w:r>
      <w:bookmarkEnd w:id="0"/>
      <w:bookmarkEnd w:id="1"/>
      <w:r>
        <w:rPr>
          <w:rFonts w:hint="eastAsia" w:ascii="仿宋" w:hAnsi="仿宋" w:eastAsia="仿宋" w:cs="仿宋"/>
          <w:sz w:val="32"/>
          <w:szCs w:val="32"/>
        </w:rPr>
        <w:t>、《住房和城乡建设部关于提升房屋网签备案服务效能的意见》（建房规〔2020〕4号）、《市政府办公室关于进一步规范市区房地产开发项目管理的通知》（常政办发〔2013〕144号）等有关规定，结合本市实际，制定本办法。</w:t>
      </w:r>
    </w:p>
    <w:p w14:paraId="631A521C">
      <w:pPr>
        <w:keepNext w:val="0"/>
        <w:keepLines w:val="0"/>
        <w:pageBreakBefore w:val="0"/>
        <w:kinsoku/>
        <w:wordWrap/>
        <w:overflowPunct/>
        <w:topLinePunct w:val="0"/>
        <w:autoSpaceDE/>
        <w:autoSpaceDN/>
        <w:bidi w:val="0"/>
        <w:spacing w:line="57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highlight w:val="none"/>
        </w:rPr>
        <w:t>存量房交易资金监管遵循“</w:t>
      </w:r>
      <w:r>
        <w:rPr>
          <w:rFonts w:hint="eastAsia" w:ascii="仿宋" w:hAnsi="仿宋" w:eastAsia="仿宋" w:cs="仿宋"/>
          <w:sz w:val="32"/>
          <w:szCs w:val="32"/>
          <w:highlight w:val="none"/>
          <w:lang w:val="en-US" w:eastAsia="zh-CN"/>
        </w:rPr>
        <w:t>资金安全</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交易便捷</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服务免费、权责明晰</w:t>
      </w:r>
      <w:r>
        <w:rPr>
          <w:rFonts w:hint="eastAsia" w:ascii="仿宋" w:hAnsi="仿宋" w:eastAsia="仿宋" w:cs="仿宋"/>
          <w:sz w:val="32"/>
          <w:szCs w:val="32"/>
          <w:highlight w:val="none"/>
        </w:rPr>
        <w:t>”的原则。</w:t>
      </w:r>
    </w:p>
    <w:p w14:paraId="36123F79">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_GB2312" w:eastAsia="仿宋_GB2312"/>
          <w:sz w:val="32"/>
          <w:szCs w:val="32"/>
        </w:rPr>
        <w:t xml:space="preserve">  </w:t>
      </w:r>
      <w:r>
        <w:rPr>
          <w:rFonts w:hint="eastAsia" w:ascii="仿宋" w:hAnsi="仿宋" w:eastAsia="仿宋" w:cs="仿宋"/>
          <w:sz w:val="32"/>
          <w:szCs w:val="32"/>
        </w:rPr>
        <w:t>凡在本市市区国有土地上进行的存量房交易，其交易资金的监督管理适用本办法。</w:t>
      </w:r>
    </w:p>
    <w:p w14:paraId="3758AEC5">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本办法所指的存量房是指国有土地上已经交付使用且已取得《不动产权证》或同时具备《房屋所有权证》、《土地使用权证》的房屋。</w:t>
      </w:r>
    </w:p>
    <w:p w14:paraId="789C7AF9">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本办法所称存量房交易资金，是指存量房交易</w:t>
      </w:r>
      <w:r>
        <w:rPr>
          <w:rFonts w:hint="eastAsia" w:ascii="仿宋" w:hAnsi="仿宋" w:eastAsia="仿宋" w:cs="仿宋"/>
          <w:sz w:val="32"/>
          <w:szCs w:val="32"/>
          <w:lang w:val="en-US" w:eastAsia="zh-CN"/>
        </w:rPr>
        <w:t>双方当事人</w:t>
      </w:r>
      <w:r>
        <w:rPr>
          <w:rFonts w:hint="eastAsia" w:ascii="仿宋" w:hAnsi="仿宋" w:eastAsia="仿宋" w:cs="仿宋"/>
          <w:sz w:val="32"/>
          <w:szCs w:val="32"/>
        </w:rPr>
        <w:t>在已备案的存量房买卖合同中约定的房价款，包括：首付款、分期付款、贷款、转为购房款的定金等款项。不包括存量房交易所涉及的税费。</w:t>
      </w:r>
    </w:p>
    <w:p w14:paraId="7C94DAD8">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市住房和城乡建设行政主管部门（以下简称市住建部门）是本市市区存量房交易资金监管的主管部门，</w:t>
      </w:r>
      <w:r>
        <w:rPr>
          <w:rFonts w:hint="eastAsia" w:ascii="仿宋" w:hAnsi="仿宋" w:eastAsia="仿宋" w:cs="仿宋"/>
          <w:sz w:val="32"/>
          <w:szCs w:val="32"/>
          <w:lang w:val="en-US" w:eastAsia="zh-CN"/>
        </w:rPr>
        <w:t>具体委托</w:t>
      </w:r>
      <w:r>
        <w:rPr>
          <w:rFonts w:hint="eastAsia" w:ascii="仿宋" w:hAnsi="仿宋" w:eastAsia="仿宋" w:cs="仿宋"/>
          <w:color w:val="000000" w:themeColor="text1"/>
          <w:sz w:val="32"/>
          <w:szCs w:val="32"/>
          <w:highlight w:val="none"/>
          <w:lang w:val="en-US" w:eastAsia="zh-CN"/>
          <w14:textFill>
            <w14:solidFill>
              <w14:schemeClr w14:val="tx1"/>
            </w14:solidFill>
          </w14:textFill>
        </w:rPr>
        <w:t>常州正泰房产居间服务有限公司（以下简称正泰公司）作为常州市区存量房交易资金监管交易保证机构，负责实施存量房交易资金监管的具体工作</w:t>
      </w:r>
      <w:r>
        <w:rPr>
          <w:rFonts w:hint="eastAsia" w:ascii="仿宋" w:hAnsi="仿宋" w:eastAsia="仿宋" w:cs="仿宋"/>
          <w:sz w:val="32"/>
          <w:szCs w:val="32"/>
        </w:rPr>
        <w:t>。</w:t>
      </w:r>
    </w:p>
    <w:p w14:paraId="237C2F2D">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中国人民银行常州市中心支行（以下简称人行中心支行）、中国银行保险监督管理委员会常州监管分局（以下简称银保监分局）负责对存量房交易资金</w:t>
      </w:r>
      <w:r>
        <w:rPr>
          <w:rFonts w:hint="eastAsia" w:ascii="仿宋_GB2312" w:eastAsia="仿宋_GB2312"/>
          <w:sz w:val="32"/>
          <w:szCs w:val="32"/>
        </w:rPr>
        <w:t>账户的开立、核算、划转等行为</w:t>
      </w:r>
      <w:r>
        <w:rPr>
          <w:rFonts w:hint="eastAsia" w:ascii="仿宋" w:hAnsi="仿宋" w:eastAsia="仿宋" w:cs="仿宋"/>
          <w:sz w:val="32"/>
          <w:szCs w:val="32"/>
        </w:rPr>
        <w:t>进行监督管理。</w:t>
      </w:r>
    </w:p>
    <w:p w14:paraId="7579CC4A">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正泰公司</w:t>
      </w:r>
      <w:r>
        <w:rPr>
          <w:rFonts w:hint="eastAsia" w:ascii="仿宋" w:hAnsi="仿宋" w:eastAsia="仿宋" w:cs="仿宋"/>
          <w:sz w:val="32"/>
          <w:szCs w:val="32"/>
        </w:rPr>
        <w:t>主要履行下列职责：</w:t>
      </w:r>
    </w:p>
    <w:p w14:paraId="6B93A6A1">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（一）与</w:t>
      </w:r>
      <w:r>
        <w:rPr>
          <w:rFonts w:hint="eastAsia" w:ascii="仿宋" w:hAnsi="仿宋" w:eastAsia="仿宋" w:cs="仿宋"/>
          <w:sz w:val="32"/>
          <w:szCs w:val="32"/>
          <w:lang w:val="en-US" w:eastAsia="zh-CN"/>
        </w:rPr>
        <w:t>合作金融机构</w:t>
      </w:r>
      <w:r>
        <w:rPr>
          <w:rFonts w:hint="eastAsia" w:ascii="仿宋" w:hAnsi="仿宋" w:eastAsia="仿宋" w:cs="仿宋"/>
          <w:sz w:val="32"/>
          <w:szCs w:val="32"/>
        </w:rPr>
        <w:t>签订《常州市存量房交易资金监管合作备忘录》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以下简称《合作备忘录》</w:t>
      </w:r>
      <w:r>
        <w:rPr>
          <w:rFonts w:hint="eastAsia" w:ascii="仿宋" w:hAnsi="仿宋" w:eastAsia="仿宋" w:cs="仿宋"/>
          <w:sz w:val="32"/>
          <w:szCs w:val="32"/>
          <w:lang w:eastAsia="zh-CN"/>
        </w:rPr>
        <w:t>）</w:t>
      </w:r>
      <w:r>
        <w:rPr>
          <w:rFonts w:hint="eastAsia" w:ascii="仿宋" w:hAnsi="仿宋" w:eastAsia="仿宋" w:cs="仿宋"/>
          <w:sz w:val="32"/>
          <w:szCs w:val="32"/>
        </w:rPr>
        <w:t>，并在其机构中开立的账户用于存量房交易资金监管业务；</w:t>
      </w:r>
    </w:p>
    <w:p w14:paraId="5CBA45E9">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（二）与交易双方</w:t>
      </w:r>
      <w:r>
        <w:rPr>
          <w:rFonts w:hint="eastAsia" w:ascii="仿宋" w:hAnsi="仿宋" w:eastAsia="仿宋" w:cs="仿宋"/>
          <w:sz w:val="32"/>
          <w:szCs w:val="32"/>
          <w:lang w:val="en-US" w:eastAsia="zh-CN"/>
        </w:rPr>
        <w:t>当事人</w:t>
      </w:r>
      <w:r>
        <w:rPr>
          <w:rFonts w:hint="eastAsia" w:ascii="仿宋" w:hAnsi="仿宋" w:eastAsia="仿宋" w:cs="仿宋"/>
          <w:sz w:val="32"/>
          <w:szCs w:val="32"/>
        </w:rPr>
        <w:t>签订《</w:t>
      </w:r>
      <w:r>
        <w:rPr>
          <w:rFonts w:hint="eastAsia" w:ascii="仿宋" w:hAnsi="仿宋" w:eastAsia="仿宋" w:cs="仿宋"/>
          <w:sz w:val="32"/>
          <w:szCs w:val="32"/>
          <w:lang w:val="en-US" w:eastAsia="zh-CN"/>
        </w:rPr>
        <w:t>常州市存量房交易资金监管</w:t>
      </w:r>
      <w:r>
        <w:rPr>
          <w:rFonts w:hint="eastAsia" w:ascii="仿宋" w:hAnsi="仿宋" w:eastAsia="仿宋" w:cs="仿宋"/>
          <w:sz w:val="32"/>
          <w:szCs w:val="32"/>
        </w:rPr>
        <w:t>协议》</w:t>
      </w:r>
      <w:r>
        <w:rPr>
          <w:rFonts w:hint="eastAsia" w:ascii="仿宋" w:hAnsi="仿宋" w:eastAsia="仿宋" w:cs="仿宋"/>
          <w:sz w:val="32"/>
          <w:szCs w:val="32"/>
          <w:lang w:eastAsia="zh-CN"/>
        </w:rPr>
        <w:t>（</w:t>
      </w:r>
      <w:r>
        <w:rPr>
          <w:rFonts w:hint="eastAsia" w:ascii="仿宋" w:hAnsi="仿宋" w:eastAsia="仿宋" w:cs="仿宋"/>
          <w:sz w:val="32"/>
          <w:szCs w:val="32"/>
        </w:rPr>
        <w:t>以下简称《监管协议》</w:t>
      </w:r>
      <w:r>
        <w:rPr>
          <w:rFonts w:hint="eastAsia" w:ascii="仿宋" w:hAnsi="仿宋" w:eastAsia="仿宋" w:cs="仿宋"/>
          <w:sz w:val="32"/>
          <w:szCs w:val="32"/>
          <w:lang w:eastAsia="zh-CN"/>
        </w:rPr>
        <w:t>）</w:t>
      </w:r>
      <w:r>
        <w:rPr>
          <w:rFonts w:hint="eastAsia" w:ascii="仿宋" w:hAnsi="仿宋" w:eastAsia="仿宋" w:cs="仿宋"/>
          <w:sz w:val="32"/>
          <w:szCs w:val="32"/>
        </w:rPr>
        <w:t>；</w:t>
      </w:r>
    </w:p>
    <w:p w14:paraId="2800E5C3">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（三）对存量房交易监管资金的收存、拨付、变更进行管理</w:t>
      </w:r>
      <w:r>
        <w:rPr>
          <w:rFonts w:hint="eastAsia" w:ascii="仿宋" w:hAnsi="仿宋" w:eastAsia="仿宋" w:cs="仿宋"/>
          <w:sz w:val="32"/>
          <w:szCs w:val="32"/>
          <w:lang w:eastAsia="zh-CN"/>
        </w:rPr>
        <w:t>；</w:t>
      </w:r>
    </w:p>
    <w:p w14:paraId="510D780D">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（四）审核交易双方</w:t>
      </w:r>
      <w:r>
        <w:rPr>
          <w:rFonts w:hint="eastAsia" w:ascii="仿宋" w:hAnsi="仿宋" w:eastAsia="仿宋" w:cs="仿宋"/>
          <w:sz w:val="32"/>
          <w:szCs w:val="32"/>
          <w:lang w:val="en-US" w:eastAsia="zh-CN"/>
        </w:rPr>
        <w:t>当事人</w:t>
      </w:r>
      <w:r>
        <w:rPr>
          <w:rFonts w:hint="eastAsia" w:ascii="仿宋" w:hAnsi="仿宋" w:eastAsia="仿宋" w:cs="仿宋"/>
          <w:sz w:val="32"/>
          <w:szCs w:val="32"/>
        </w:rPr>
        <w:t>签订的</w:t>
      </w:r>
      <w:r>
        <w:rPr>
          <w:rFonts w:hint="eastAsia" w:ascii="仿宋" w:hAnsi="仿宋" w:eastAsia="仿宋" w:cs="仿宋"/>
          <w:sz w:val="32"/>
          <w:szCs w:val="32"/>
          <w:lang w:val="en-US" w:eastAsia="zh-CN"/>
        </w:rPr>
        <w:t>《常州市存量房交易资金免监管声明》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以下简称《免监管声明》</w:t>
      </w:r>
      <w:r>
        <w:rPr>
          <w:rFonts w:hint="eastAsia" w:ascii="仿宋" w:hAnsi="仿宋" w:eastAsia="仿宋" w:cs="仿宋"/>
          <w:sz w:val="32"/>
          <w:szCs w:val="32"/>
          <w:lang w:eastAsia="zh-CN"/>
        </w:rPr>
        <w:t>）</w:t>
      </w:r>
      <w:r>
        <w:rPr>
          <w:rFonts w:hint="eastAsia" w:ascii="仿宋" w:hAnsi="仿宋" w:eastAsia="仿宋" w:cs="仿宋"/>
          <w:sz w:val="32"/>
          <w:szCs w:val="32"/>
        </w:rPr>
        <w:t>。</w:t>
      </w:r>
    </w:p>
    <w:p w14:paraId="34154DC3">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合作金融机构主要履行下列职责：</w:t>
      </w:r>
    </w:p>
    <w:p w14:paraId="117FD5A5">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（一）做好专用账户管理工作；</w:t>
      </w:r>
    </w:p>
    <w:p w14:paraId="00A061EE">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（二）做好商业贷款批贷前置工作；</w:t>
      </w:r>
    </w:p>
    <w:p w14:paraId="016872AC">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（三）及时将专用账户收支情况反馈给</w:t>
      </w:r>
      <w:r>
        <w:rPr>
          <w:rFonts w:hint="eastAsia" w:ascii="仿宋" w:hAnsi="仿宋" w:eastAsia="仿宋" w:cs="仿宋"/>
          <w:sz w:val="32"/>
          <w:szCs w:val="32"/>
          <w:highlight w:val="none"/>
          <w:lang w:val="en-US" w:eastAsia="zh-CN"/>
        </w:rPr>
        <w:t>正泰公司</w:t>
      </w:r>
      <w:r>
        <w:rPr>
          <w:rFonts w:hint="eastAsia" w:ascii="仿宋" w:hAnsi="仿宋" w:eastAsia="仿宋" w:cs="仿宋"/>
          <w:sz w:val="32"/>
          <w:szCs w:val="32"/>
          <w:highlight w:val="none"/>
        </w:rPr>
        <w:t>。</w:t>
      </w:r>
    </w:p>
    <w:p w14:paraId="3BA379B8">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正泰公司</w:t>
      </w:r>
      <w:r>
        <w:rPr>
          <w:rFonts w:hint="eastAsia" w:ascii="仿宋" w:hAnsi="仿宋" w:eastAsia="仿宋" w:cs="仿宋"/>
          <w:sz w:val="32"/>
          <w:szCs w:val="32"/>
        </w:rPr>
        <w:t>应当与不动产登记部门、税务部门、合作金融机构、公积金中心等单位加强系统对接，实现网签、缴税、不动产权登记、</w:t>
      </w:r>
      <w:r>
        <w:rPr>
          <w:rFonts w:hint="eastAsia" w:ascii="仿宋" w:hAnsi="仿宋" w:eastAsia="仿宋" w:cs="仿宋"/>
          <w:sz w:val="32"/>
          <w:szCs w:val="32"/>
          <w:highlight w:val="none"/>
        </w:rPr>
        <w:t>银行按揭贷款及住房公积金贷款的审批、发放和资金划转等信息的互通共享。</w:t>
      </w:r>
    </w:p>
    <w:p w14:paraId="61552865">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sz w:val="32"/>
          <w:szCs w:val="32"/>
          <w:highlight w:val="yellow"/>
        </w:rPr>
      </w:pPr>
      <w:r>
        <w:rPr>
          <w:rFonts w:hint="eastAsia" w:ascii="仿宋" w:hAnsi="仿宋" w:eastAsia="仿宋" w:cs="仿宋"/>
          <w:kern w:val="2"/>
          <w:sz w:val="32"/>
          <w:szCs w:val="32"/>
          <w:lang w:val="en-US" w:eastAsia="zh-CN" w:bidi="ar-SA"/>
        </w:rPr>
        <w:t>合作金融机构未按照</w:t>
      </w:r>
      <w:r>
        <w:rPr>
          <w:rFonts w:hint="eastAsia" w:ascii="仿宋" w:hAnsi="仿宋" w:eastAsia="仿宋" w:cs="仿宋"/>
          <w:sz w:val="32"/>
          <w:szCs w:val="32"/>
          <w:lang w:val="en-US" w:eastAsia="zh-CN"/>
        </w:rPr>
        <w:t>《合作备忘录》</w:t>
      </w:r>
      <w:r>
        <w:rPr>
          <w:rFonts w:hint="eastAsia" w:ascii="仿宋" w:hAnsi="仿宋" w:eastAsia="仿宋" w:cs="仿宋"/>
          <w:kern w:val="2"/>
          <w:sz w:val="32"/>
          <w:szCs w:val="32"/>
          <w:lang w:val="en-US" w:eastAsia="zh-CN" w:bidi="ar-SA"/>
        </w:rPr>
        <w:t>约定操作的，正泰公司有权暂停或取消其存量房交易资金监管业务资格。</w:t>
      </w:r>
    </w:p>
    <w:p w14:paraId="08167D08">
      <w:pPr>
        <w:pStyle w:val="2"/>
        <w:keepNext w:val="0"/>
        <w:keepLines w:val="0"/>
        <w:pageBreakBefore w:val="0"/>
        <w:kinsoku/>
        <w:wordWrap/>
        <w:overflowPunct/>
        <w:topLinePunct w:val="0"/>
        <w:autoSpaceDE/>
        <w:autoSpaceDN/>
        <w:bidi w:val="0"/>
        <w:spacing w:line="57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条  </w:t>
      </w:r>
      <w:r>
        <w:rPr>
          <w:rFonts w:hint="eastAsia" w:ascii="仿宋" w:hAnsi="仿宋" w:eastAsia="仿宋" w:cs="仿宋"/>
          <w:kern w:val="2"/>
          <w:sz w:val="32"/>
          <w:szCs w:val="32"/>
          <w:lang w:val="en-US" w:eastAsia="zh-CN" w:bidi="ar-SA"/>
        </w:rPr>
        <w:t>为实现存量房交易全城通办，本市市区存量房交易资金监管可由合作金融机构网点、合作经纪机构网点和不动产登记交易中心进行受理，正泰公司后台审核。</w:t>
      </w:r>
    </w:p>
    <w:p w14:paraId="4246A19F">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 xml:space="preserve">条  </w:t>
      </w:r>
      <w:r>
        <w:rPr>
          <w:rFonts w:hint="eastAsia" w:ascii="仿宋" w:hAnsi="仿宋" w:eastAsia="仿宋" w:cs="仿宋"/>
          <w:kern w:val="2"/>
          <w:sz w:val="32"/>
          <w:szCs w:val="32"/>
          <w:highlight w:val="none"/>
          <w:lang w:val="en-US" w:eastAsia="zh-CN" w:bidi="ar-SA"/>
        </w:rPr>
        <w:t>涉及买受人需贷款的（含公积金贷款）和存量房“带押过户”，以及经房地产经纪机构居间服务促成的存量房交易资金必须纳入监管。</w:t>
      </w:r>
    </w:p>
    <w:p w14:paraId="062BF954">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买受人未经房地产经纪机构居间服务促成的且无需贷款购房的，交易双方当事人可自愿选择是否进行交易资金监管，如选择接受交易资金监管的，其交易资金监管额度可由交易双方当事人在《监管协议》中自行约定。</w:t>
      </w:r>
    </w:p>
    <w:p w14:paraId="44835DF1">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存量房交易资金监管是指存量房交易</w:t>
      </w:r>
      <w:r>
        <w:rPr>
          <w:rFonts w:hint="eastAsia" w:ascii="仿宋" w:hAnsi="仿宋" w:eastAsia="仿宋" w:cs="仿宋"/>
          <w:sz w:val="32"/>
          <w:szCs w:val="32"/>
          <w:lang w:val="en-US" w:eastAsia="zh-CN"/>
        </w:rPr>
        <w:t>双方</w:t>
      </w:r>
      <w:r>
        <w:rPr>
          <w:rFonts w:hint="eastAsia" w:ascii="仿宋" w:hAnsi="仿宋" w:eastAsia="仿宋" w:cs="仿宋"/>
          <w:sz w:val="32"/>
          <w:szCs w:val="32"/>
        </w:rPr>
        <w:t>当事人为保证交易资金安全，与</w:t>
      </w:r>
      <w:r>
        <w:rPr>
          <w:rFonts w:hint="eastAsia" w:ascii="仿宋" w:hAnsi="仿宋" w:eastAsia="仿宋" w:cs="仿宋"/>
          <w:sz w:val="32"/>
          <w:szCs w:val="32"/>
          <w:lang w:val="en-US" w:eastAsia="zh-CN"/>
        </w:rPr>
        <w:t>正泰公司</w:t>
      </w:r>
      <w:r>
        <w:rPr>
          <w:rFonts w:hint="eastAsia" w:ascii="仿宋" w:hAnsi="仿宋" w:eastAsia="仿宋" w:cs="仿宋"/>
          <w:sz w:val="32"/>
          <w:szCs w:val="32"/>
        </w:rPr>
        <w:t>签订《监管协议》，由</w:t>
      </w:r>
      <w:r>
        <w:rPr>
          <w:rFonts w:hint="eastAsia" w:ascii="仿宋" w:hAnsi="仿宋" w:eastAsia="仿宋" w:cs="仿宋"/>
          <w:sz w:val="32"/>
          <w:szCs w:val="32"/>
          <w:lang w:val="en-US" w:eastAsia="zh-CN"/>
        </w:rPr>
        <w:t>买方当事人</w:t>
      </w:r>
      <w:r>
        <w:rPr>
          <w:rFonts w:hint="eastAsia" w:ascii="仿宋" w:hAnsi="仿宋" w:eastAsia="仿宋" w:cs="仿宋"/>
          <w:sz w:val="32"/>
          <w:szCs w:val="32"/>
        </w:rPr>
        <w:t>将</w:t>
      </w:r>
      <w:r>
        <w:rPr>
          <w:rFonts w:hint="eastAsia" w:ascii="仿宋" w:hAnsi="仿宋" w:eastAsia="仿宋" w:cs="仿宋"/>
          <w:sz w:val="32"/>
          <w:szCs w:val="32"/>
          <w:lang w:val="en-US" w:eastAsia="zh-CN"/>
        </w:rPr>
        <w:t>双方约定的交易资金</w:t>
      </w:r>
      <w:r>
        <w:rPr>
          <w:rFonts w:hint="eastAsia" w:ascii="仿宋" w:hAnsi="仿宋" w:eastAsia="仿宋" w:cs="仿宋"/>
          <w:sz w:val="32"/>
          <w:szCs w:val="32"/>
        </w:rPr>
        <w:t>存入资金监管账户，</w:t>
      </w:r>
      <w:r>
        <w:rPr>
          <w:rFonts w:hint="eastAsia" w:ascii="仿宋" w:hAnsi="仿宋" w:eastAsia="仿宋" w:cs="仿宋"/>
          <w:sz w:val="32"/>
          <w:szCs w:val="32"/>
          <w:lang w:val="en-US" w:eastAsia="zh-CN"/>
        </w:rPr>
        <w:t>正泰公司</w:t>
      </w:r>
      <w:r>
        <w:rPr>
          <w:rFonts w:hint="eastAsia" w:ascii="仿宋" w:hAnsi="仿宋" w:eastAsia="仿宋" w:cs="仿宋"/>
          <w:sz w:val="32"/>
          <w:szCs w:val="32"/>
        </w:rPr>
        <w:t>再根据《买卖合同》约定的资金、划转条件、时间节点和《监管协议》要求，向当事人转付应得的交易资金的行为。</w:t>
      </w:r>
    </w:p>
    <w:p w14:paraId="62AD9E89">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b/>
          <w:bCs/>
          <w:kern w:val="2"/>
          <w:sz w:val="32"/>
          <w:szCs w:val="32"/>
          <w:lang w:val="en-US" w:eastAsia="zh-CN"/>
        </w:rPr>
      </w:pPr>
      <w:r>
        <w:rPr>
          <w:rFonts w:hint="eastAsia" w:ascii="仿宋" w:hAnsi="仿宋" w:eastAsia="仿宋" w:cs="仿宋"/>
          <w:sz w:val="32"/>
          <w:szCs w:val="32"/>
          <w:lang w:val="en-US" w:eastAsia="zh-CN"/>
        </w:rPr>
        <w:t>申请存量房交易资金监管的，交易双方当事人应当签订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监管协议</w:t>
      </w:r>
      <w:r>
        <w:rPr>
          <w:rFonts w:hint="eastAsia" w:ascii="仿宋" w:hAnsi="仿宋" w:eastAsia="仿宋" w:cs="仿宋"/>
          <w:sz w:val="32"/>
          <w:szCs w:val="32"/>
          <w:lang w:eastAsia="zh-CN"/>
        </w:rPr>
        <w:t>》</w:t>
      </w:r>
      <w:r>
        <w:rPr>
          <w:rFonts w:hint="eastAsia" w:ascii="仿宋" w:hAnsi="仿宋" w:eastAsia="仿宋" w:cs="仿宋"/>
          <w:sz w:val="32"/>
          <w:szCs w:val="32"/>
        </w:rPr>
        <w:t>。</w:t>
      </w:r>
    </w:p>
    <w:p w14:paraId="4E1BFAD4">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申请免除资金监管的，交易双方当事人应当签订《</w:t>
      </w:r>
      <w:r>
        <w:rPr>
          <w:rFonts w:hint="eastAsia" w:ascii="仿宋" w:hAnsi="仿宋" w:eastAsia="仿宋" w:cs="仿宋"/>
          <w:sz w:val="32"/>
          <w:szCs w:val="32"/>
          <w:lang w:val="en-US" w:eastAsia="zh-CN"/>
        </w:rPr>
        <w:t>免监管声明</w:t>
      </w:r>
      <w:r>
        <w:rPr>
          <w:rFonts w:hint="eastAsia" w:ascii="仿宋" w:hAnsi="仿宋" w:eastAsia="仿宋" w:cs="仿宋"/>
          <w:kern w:val="2"/>
          <w:sz w:val="32"/>
          <w:szCs w:val="32"/>
          <w:lang w:val="en-US" w:eastAsia="zh-CN" w:bidi="ar-SA"/>
        </w:rPr>
        <w:t>》，自行承担交易过程中发生的资金风险和法律责任。</w:t>
      </w:r>
    </w:p>
    <w:p w14:paraId="7750FFCE">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申请变更监管资金或变更结算账户的，交易当事人应当签订《常州市区存量房交易资金结算账户变更申请书》。</w:t>
      </w:r>
    </w:p>
    <w:p w14:paraId="0C19E9D2">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申请解除交易资金监管的，交易当事人根据《监管协议》约定，签订《常州市撤销存量房交易资金监管申请书》。</w:t>
      </w:r>
    </w:p>
    <w:p w14:paraId="2CA0BE1C">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rPr>
        <w:t>第</w:t>
      </w:r>
      <w:r>
        <w:rPr>
          <w:rFonts w:hint="eastAsia" w:ascii="仿宋" w:hAnsi="仿宋" w:eastAsia="仿宋" w:cs="仿宋"/>
          <w:b/>
          <w:bCs/>
          <w:kern w:val="2"/>
          <w:sz w:val="32"/>
          <w:szCs w:val="32"/>
          <w:lang w:val="en-US" w:eastAsia="zh-CN"/>
        </w:rPr>
        <w:t>十</w:t>
      </w:r>
      <w:r>
        <w:rPr>
          <w:rFonts w:hint="eastAsia" w:ascii="仿宋" w:hAnsi="仿宋" w:eastAsia="仿宋" w:cs="仿宋"/>
          <w:b/>
          <w:bCs/>
          <w:kern w:val="2"/>
          <w:sz w:val="32"/>
          <w:szCs w:val="32"/>
        </w:rPr>
        <w:t>条</w:t>
      </w:r>
      <w:r>
        <w:rPr>
          <w:rFonts w:hint="eastAsia" w:ascii="仿宋" w:hAnsi="仿宋" w:eastAsia="仿宋" w:cs="仿宋"/>
          <w:kern w:val="2"/>
          <w:sz w:val="32"/>
          <w:szCs w:val="32"/>
        </w:rPr>
        <w:t xml:space="preserve">  </w:t>
      </w:r>
      <w:bookmarkStart w:id="2" w:name="OLE_LINK9"/>
      <w:bookmarkStart w:id="3" w:name="OLE_LINK10"/>
      <w:r>
        <w:rPr>
          <w:rFonts w:hint="eastAsia" w:ascii="仿宋" w:hAnsi="仿宋" w:eastAsia="仿宋" w:cs="仿宋"/>
          <w:kern w:val="2"/>
          <w:sz w:val="32"/>
          <w:szCs w:val="32"/>
          <w:lang w:val="en-US" w:eastAsia="zh-CN" w:bidi="ar-SA"/>
        </w:rPr>
        <w:t>有下列情形之一的房屋转让</w:t>
      </w:r>
      <w:bookmarkEnd w:id="2"/>
      <w:bookmarkEnd w:id="3"/>
      <w:r>
        <w:rPr>
          <w:rFonts w:hint="eastAsia" w:ascii="仿宋" w:hAnsi="仿宋" w:eastAsia="仿宋" w:cs="仿宋"/>
          <w:kern w:val="2"/>
          <w:sz w:val="32"/>
          <w:szCs w:val="32"/>
          <w:lang w:val="en-US" w:eastAsia="zh-CN" w:bidi="ar-SA"/>
        </w:rPr>
        <w:t>，可以不实行资金监管:</w:t>
      </w:r>
    </w:p>
    <w:p w14:paraId="11FBA04C">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(一)继承、赠与、所有权交换的；</w:t>
      </w:r>
    </w:p>
    <w:p w14:paraId="5FA53BE6">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(二)依据生效法律文书转移的；</w:t>
      </w:r>
    </w:p>
    <w:p w14:paraId="5EEF5166">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(三)司法拍卖转让的；</w:t>
      </w:r>
    </w:p>
    <w:p w14:paraId="3AA964DD">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(四)以房屋出资入股，房屋权属发生转移的。</w:t>
      </w:r>
    </w:p>
    <w:p w14:paraId="316EBB27">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kern w:val="2"/>
          <w:sz w:val="32"/>
          <w:szCs w:val="32"/>
        </w:rPr>
        <w:t xml:space="preserve">  </w:t>
      </w:r>
      <w:r>
        <w:rPr>
          <w:rFonts w:hint="eastAsia" w:ascii="仿宋" w:hAnsi="仿宋" w:eastAsia="仿宋" w:cs="仿宋"/>
          <w:kern w:val="2"/>
          <w:sz w:val="32"/>
          <w:szCs w:val="32"/>
          <w:lang w:val="en-US" w:eastAsia="zh-CN" w:bidi="ar-SA"/>
        </w:rPr>
        <w:t>有下列情形之一的房屋转让，可以申请免除资金监管:</w:t>
      </w:r>
    </w:p>
    <w:p w14:paraId="25482FCD">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(一)属于国有资产挂牌交易的;</w:t>
      </w:r>
    </w:p>
    <w:p w14:paraId="3BBC78DD">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(二)房屋共有人之间份额转让的；</w:t>
      </w:r>
    </w:p>
    <w:p w14:paraId="5645F806">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(三)配偶及其他直系亲属间（子女、父母、祖父母、外祖父母）转让的；</w:t>
      </w:r>
    </w:p>
    <w:p w14:paraId="297109BF">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(四)其他不具备资金监管条件的。</w:t>
      </w:r>
    </w:p>
    <w:p w14:paraId="5BE4F750">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7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 xml:space="preserve">条  </w:t>
      </w:r>
      <w:bookmarkStart w:id="4" w:name="OLE_LINK15"/>
      <w:bookmarkStart w:id="5" w:name="OLE_LINK16"/>
      <w:r>
        <w:rPr>
          <w:rFonts w:hint="eastAsia" w:ascii="仿宋" w:hAnsi="仿宋" w:eastAsia="仿宋" w:cs="仿宋"/>
          <w:kern w:val="2"/>
          <w:sz w:val="32"/>
          <w:szCs w:val="32"/>
          <w:lang w:val="en-US" w:eastAsia="zh-CN" w:bidi="ar-SA"/>
        </w:rPr>
        <w:t>正泰公司及合作金融机构、合作经纪机构在提供存量房交易资金监管服务时，免收服务费用。</w:t>
      </w:r>
      <w:r>
        <w:rPr>
          <w:rFonts w:hint="eastAsia" w:ascii="仿宋" w:hAnsi="仿宋" w:eastAsia="仿宋" w:cs="仿宋"/>
          <w:kern w:val="2"/>
          <w:sz w:val="32"/>
          <w:szCs w:val="32"/>
          <w:highlight w:val="none"/>
          <w:lang w:val="en-US" w:eastAsia="zh-CN" w:bidi="ar-SA"/>
        </w:rPr>
        <w:t>交易资金在监管专用账户滞留期间按照银行同期活期存款利率向交易当事人结息，利息归属由交易双方当事人在交易资金监管协议中约定。</w:t>
      </w:r>
    </w:p>
    <w:p w14:paraId="64ED348D">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70" w:lineRule="exact"/>
        <w:ind w:firstLine="643"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实施存量房交易资金监管的，交易双方当事人签订《监管协议》约定的监管资金全额到账后，交易双方当事人共同到不动产登记部分办理房屋所有权转移或抵押权、所有权组合登记。</w:t>
      </w:r>
    </w:p>
    <w:p w14:paraId="388D4C62">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70" w:lineRule="exact"/>
        <w:ind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bookmarkEnd w:id="4"/>
      <w:bookmarkEnd w:id="5"/>
      <w:r>
        <w:rPr>
          <w:rFonts w:hint="eastAsia" w:ascii="仿宋" w:hAnsi="仿宋" w:eastAsia="仿宋" w:cs="仿宋"/>
          <w:b/>
          <w:bCs/>
          <w:sz w:val="32"/>
          <w:szCs w:val="32"/>
        </w:rPr>
        <w:t xml:space="preserve"> </w:t>
      </w:r>
      <w:r>
        <w:rPr>
          <w:rFonts w:hint="eastAsia" w:ascii="仿宋" w:hAnsi="仿宋" w:eastAsia="仿宋" w:cs="仿宋"/>
          <w:kern w:val="2"/>
          <w:sz w:val="32"/>
          <w:szCs w:val="32"/>
          <w:lang w:val="en-US" w:eastAsia="zh-CN" w:bidi="ar-SA"/>
        </w:rPr>
        <w:t>在房屋权属转移登记完成之前，有下列情形之一的，可解除存量房交易资金监管：</w:t>
      </w:r>
    </w:p>
    <w:p w14:paraId="108D93CA">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(一)交易双方当事人协商一致终止交易的； </w:t>
      </w:r>
    </w:p>
    <w:p w14:paraId="2F73F6F3">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(二)人民法院、仲裁机构判决或者裁定终止交易的；</w:t>
      </w:r>
    </w:p>
    <w:p w14:paraId="25008089">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(三)其他需要撤销存量房交易资金监管情形的。</w:t>
      </w:r>
    </w:p>
    <w:p w14:paraId="09B14989">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kern w:val="2"/>
          <w:sz w:val="32"/>
          <w:szCs w:val="32"/>
          <w:lang w:val="en-US" w:eastAsia="zh-CN" w:bidi="ar-SA"/>
        </w:rPr>
        <w:t>交易当事人需解除资金监管协议的，根据《监管协议》约定，经正泰公司同意后，可解除本资金监管协议且</w:t>
      </w:r>
      <w:bookmarkStart w:id="6" w:name="_GoBack"/>
      <w:bookmarkEnd w:id="6"/>
      <w:r>
        <w:rPr>
          <w:rFonts w:hint="eastAsia" w:ascii="仿宋" w:hAnsi="仿宋" w:eastAsia="仿宋" w:cs="仿宋"/>
          <w:kern w:val="2"/>
          <w:sz w:val="32"/>
          <w:szCs w:val="32"/>
          <w:lang w:val="en-US" w:eastAsia="zh-CN" w:bidi="ar-SA"/>
        </w:rPr>
        <w:t>不承担由此引起的任何法律责任。</w:t>
      </w:r>
    </w:p>
    <w:p w14:paraId="7891E3C1">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kern w:val="2"/>
          <w:sz w:val="32"/>
          <w:szCs w:val="32"/>
          <w:lang w:val="en-US" w:eastAsia="zh-CN" w:bidi="ar-SA"/>
        </w:rPr>
        <w:t>正泰公司应当本着确保交易资金安全、方便群众的原则，制定相应的操作规范和流程。</w:t>
      </w:r>
    </w:p>
    <w:p w14:paraId="6E4A818F">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kern w:val="2"/>
          <w:sz w:val="32"/>
          <w:szCs w:val="32"/>
          <w:lang w:val="en-US" w:eastAsia="zh-CN" w:bidi="ar-SA"/>
        </w:rPr>
        <w:t>房地产经纪机构及其从业人员禁止直接或者间接代收代付存量房交易资金，</w:t>
      </w:r>
      <w:r>
        <w:rPr>
          <w:rFonts w:hint="eastAsia" w:ascii="仿宋" w:hAnsi="仿宋" w:eastAsia="仿宋" w:cs="仿宋"/>
          <w:kern w:val="2"/>
          <w:sz w:val="32"/>
          <w:szCs w:val="32"/>
          <w:highlight w:val="none"/>
          <w:lang w:val="en-US" w:eastAsia="zh-CN" w:bidi="ar-SA"/>
        </w:rPr>
        <w:t>不得以交房保证金等形式留存、收取客户的交易资金，</w:t>
      </w:r>
      <w:r>
        <w:rPr>
          <w:rFonts w:hint="eastAsia" w:ascii="仿宋" w:hAnsi="仿宋" w:eastAsia="仿宋" w:cs="仿宋"/>
          <w:kern w:val="2"/>
          <w:sz w:val="32"/>
          <w:szCs w:val="32"/>
          <w:lang w:val="en-US" w:eastAsia="zh-CN" w:bidi="ar-SA"/>
        </w:rPr>
        <w:t>不得代交易双方当事人签署存量房交易资金相关文书，不得利用客户资源和信息优势强制提供担保、金融等相关服务。</w:t>
      </w:r>
    </w:p>
    <w:p w14:paraId="7676C42E">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kern w:val="2"/>
          <w:sz w:val="32"/>
          <w:szCs w:val="32"/>
          <w:lang w:val="en-US" w:eastAsia="zh-CN" w:bidi="ar-SA"/>
        </w:rPr>
        <w:t>房地产经纪机构及其从业人员违反相关规定的，由行政主管部门视情节给予责令限期改正、违规行为曝光、诚信扣分等处理；给交易双方当事人造成损失的，依法承担民事责任；构成犯罪的，依法追究刑事责任。</w:t>
      </w:r>
    </w:p>
    <w:p w14:paraId="66F28BFF">
      <w:pPr>
        <w:keepNext w:val="0"/>
        <w:keepLines w:val="0"/>
        <w:pageBreakBefore w:val="0"/>
        <w:kinsoku/>
        <w:wordWrap/>
        <w:overflowPunct/>
        <w:topLinePunct w:val="0"/>
        <w:autoSpaceDE/>
        <w:autoSpaceDN/>
        <w:bidi w:val="0"/>
        <w:adjustRightInd w:val="0"/>
        <w:snapToGrid w:val="0"/>
        <w:spacing w:line="57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sz w:val="32"/>
          <w:szCs w:val="32"/>
        </w:rPr>
        <w:t xml:space="preserve">  存量房交易资金监管人员在工作中玩忽职守、徇私舞弊、滥用职权的，由其所在单位或者上级主管部门依法予以处理；给交易</w:t>
      </w:r>
      <w:r>
        <w:rPr>
          <w:rFonts w:hint="eastAsia" w:ascii="仿宋" w:hAnsi="仿宋" w:eastAsia="仿宋" w:cs="仿宋"/>
          <w:sz w:val="32"/>
          <w:szCs w:val="32"/>
          <w:lang w:val="en-US" w:eastAsia="zh-CN"/>
        </w:rPr>
        <w:t>双方</w:t>
      </w:r>
      <w:r>
        <w:rPr>
          <w:rFonts w:hint="eastAsia" w:ascii="仿宋" w:hAnsi="仿宋" w:eastAsia="仿宋" w:cs="仿宋"/>
          <w:sz w:val="32"/>
          <w:szCs w:val="32"/>
        </w:rPr>
        <w:t>当事人造成损失的，依法承担民事责任；构成犯罪的，依法追究刑事责任。</w:t>
      </w:r>
    </w:p>
    <w:p w14:paraId="54AF6E8E">
      <w:pPr>
        <w:keepNext w:val="0"/>
        <w:keepLines w:val="0"/>
        <w:pageBreakBefore w:val="0"/>
        <w:kinsoku/>
        <w:wordWrap/>
        <w:overflowPunct/>
        <w:topLinePunct w:val="0"/>
        <w:autoSpaceDE/>
        <w:autoSpaceDN/>
        <w:bidi w:val="0"/>
        <w:spacing w:line="57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w:t>
      </w:r>
      <w:r>
        <w:rPr>
          <w:rFonts w:hint="eastAsia" w:ascii="仿宋" w:hAnsi="仿宋" w:eastAsia="仿宋" w:cs="仿宋"/>
          <w:b/>
          <w:bCs/>
          <w:sz w:val="32"/>
          <w:szCs w:val="32"/>
        </w:rPr>
        <w:t xml:space="preserve">条  </w:t>
      </w:r>
      <w:r>
        <w:rPr>
          <w:rFonts w:hint="eastAsia" w:ascii="仿宋" w:hAnsi="仿宋" w:eastAsia="仿宋" w:cs="仿宋"/>
          <w:sz w:val="32"/>
          <w:szCs w:val="32"/>
        </w:rPr>
        <w:t>本办法自202 年 月 日起施行，溧阳市可参照执行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自行授权委托交易保证机构</w:t>
      </w:r>
      <w:r>
        <w:rPr>
          <w:rFonts w:hint="eastAsia" w:ascii="仿宋" w:hAnsi="仿宋" w:eastAsia="仿宋" w:cs="仿宋"/>
          <w:sz w:val="32"/>
          <w:szCs w:val="32"/>
        </w:rPr>
        <w:t>。《关于开展市区存量房交易资金监管工作的通知》（常房发〔2014〕28号）、《关于进一步加强存量房交易资金监管工作的通知》（常房发〔2018〕27号）同时废止。</w:t>
      </w:r>
    </w:p>
    <w:p w14:paraId="549A07F1">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仿宋" w:hAnsi="仿宋" w:eastAsia="仿宋" w:cs="仿宋"/>
          <w:sz w:val="32"/>
          <w:szCs w:val="32"/>
        </w:rPr>
      </w:pPr>
    </w:p>
    <w:p w14:paraId="053707D8">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70" w:lineRule="exact"/>
        <w:ind w:firstLine="640" w:firstLineChars="200"/>
        <w:jc w:val="both"/>
        <w:textAlignment w:val="auto"/>
        <w:rPr>
          <w:rFonts w:hint="eastAsia" w:ascii="仿宋" w:hAnsi="仿宋" w:eastAsia="仿宋" w:cs="仿宋"/>
          <w:kern w:val="2"/>
          <w:sz w:val="32"/>
          <w:szCs w:val="32"/>
          <w:lang w:val="en-US" w:eastAsia="zh-CN" w:bidi="ar-SA"/>
        </w:rPr>
      </w:pPr>
    </w:p>
    <w:p w14:paraId="1638F927">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仿宋" w:hAnsi="仿宋" w:eastAsia="仿宋" w:cs="仿宋"/>
          <w:sz w:val="32"/>
          <w:szCs w:val="32"/>
        </w:rPr>
      </w:pPr>
    </w:p>
    <w:sectPr>
      <w:footerReference r:id="rId3" w:type="default"/>
      <w:pgSz w:w="11906" w:h="16838"/>
      <w:pgMar w:top="2098" w:right="1531" w:bottom="1984" w:left="1531" w:header="850" w:footer="96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1" w:fontKey="{2CC8B4D9-93A0-41EA-8A97-FC8730514733}"/>
  </w:font>
  <w:font w:name="方正公文小标宋">
    <w:panose1 w:val="02000500000000000000"/>
    <w:charset w:val="86"/>
    <w:family w:val="auto"/>
    <w:pitch w:val="default"/>
    <w:sig w:usb0="A00002BF" w:usb1="38CF7CFA" w:usb2="00000016" w:usb3="00000000" w:csb0="00040001" w:csb1="00000000"/>
    <w:embedRegular r:id="rId2" w:fontKey="{358DCD34-4EA4-4381-8F6A-7051E5C5F807}"/>
  </w:font>
  <w:font w:name="楷体">
    <w:panose1 w:val="02010609060101010101"/>
    <w:charset w:val="86"/>
    <w:family w:val="modern"/>
    <w:pitch w:val="default"/>
    <w:sig w:usb0="800002BF" w:usb1="38CF7CFA" w:usb2="00000016" w:usb3="00000000" w:csb0="00040001" w:csb1="00000000"/>
    <w:embedRegular r:id="rId3" w:fontKey="{172926CB-F149-43FE-ADDE-AE3CCE46CDFB}"/>
  </w:font>
  <w:font w:name="仿宋">
    <w:panose1 w:val="02010609060101010101"/>
    <w:charset w:val="86"/>
    <w:family w:val="modern"/>
    <w:pitch w:val="default"/>
    <w:sig w:usb0="800002BF" w:usb1="38CF7CFA" w:usb2="00000016" w:usb3="00000000" w:csb0="00040001" w:csb1="00000000"/>
    <w:embedRegular r:id="rId4" w:fontKey="{798BE0FC-084E-48DC-8B56-79FE0E30F4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DCA5">
    <w:pPr>
      <w:pStyle w:val="4"/>
      <w:ind w:firstLine="18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C6202">
                          <w:pPr>
                            <w:pStyle w:val="4"/>
                            <w:jc w:val="center"/>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- 1 -</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4C6202">
                    <w:pPr>
                      <w:pStyle w:val="4"/>
                      <w:jc w:val="center"/>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- 1 -</w:t>
                    </w:r>
                    <w:r>
                      <w:rPr>
                        <w:rFonts w:hint="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ZmMzNGJiYzU2Zjc5ZGRhMTYyZTJkMzJkM2UxNDYifQ=="/>
  </w:docVars>
  <w:rsids>
    <w:rsidRoot w:val="7807604E"/>
    <w:rsid w:val="00013871"/>
    <w:rsid w:val="000178AA"/>
    <w:rsid w:val="000545B2"/>
    <w:rsid w:val="000613E9"/>
    <w:rsid w:val="000736BF"/>
    <w:rsid w:val="0008372F"/>
    <w:rsid w:val="00091750"/>
    <w:rsid w:val="000D56FF"/>
    <w:rsid w:val="000E7D2E"/>
    <w:rsid w:val="000F4CD5"/>
    <w:rsid w:val="000F7E81"/>
    <w:rsid w:val="00101E08"/>
    <w:rsid w:val="00126130"/>
    <w:rsid w:val="00151E78"/>
    <w:rsid w:val="00153ACF"/>
    <w:rsid w:val="00163265"/>
    <w:rsid w:val="00180720"/>
    <w:rsid w:val="001929E8"/>
    <w:rsid w:val="001944DB"/>
    <w:rsid w:val="001B2829"/>
    <w:rsid w:val="001B552E"/>
    <w:rsid w:val="001D5D2E"/>
    <w:rsid w:val="00200799"/>
    <w:rsid w:val="00202E76"/>
    <w:rsid w:val="00203B6C"/>
    <w:rsid w:val="0020422C"/>
    <w:rsid w:val="00216619"/>
    <w:rsid w:val="0021739B"/>
    <w:rsid w:val="002479CA"/>
    <w:rsid w:val="00260BC4"/>
    <w:rsid w:val="002759BF"/>
    <w:rsid w:val="002A42AA"/>
    <w:rsid w:val="002C2DD9"/>
    <w:rsid w:val="002C5329"/>
    <w:rsid w:val="002F1229"/>
    <w:rsid w:val="00301C41"/>
    <w:rsid w:val="00325552"/>
    <w:rsid w:val="003605B8"/>
    <w:rsid w:val="0036798B"/>
    <w:rsid w:val="00372526"/>
    <w:rsid w:val="003806A4"/>
    <w:rsid w:val="00395EB6"/>
    <w:rsid w:val="003A616D"/>
    <w:rsid w:val="003B7802"/>
    <w:rsid w:val="003C0FAB"/>
    <w:rsid w:val="003D5A5A"/>
    <w:rsid w:val="003D5E60"/>
    <w:rsid w:val="003E25E2"/>
    <w:rsid w:val="00406F93"/>
    <w:rsid w:val="0042029B"/>
    <w:rsid w:val="00432CC7"/>
    <w:rsid w:val="00454770"/>
    <w:rsid w:val="004669C4"/>
    <w:rsid w:val="004C6A15"/>
    <w:rsid w:val="004E2CCA"/>
    <w:rsid w:val="0050008E"/>
    <w:rsid w:val="005372FB"/>
    <w:rsid w:val="00560C26"/>
    <w:rsid w:val="005805CE"/>
    <w:rsid w:val="005D2326"/>
    <w:rsid w:val="005D6AFE"/>
    <w:rsid w:val="005E07F8"/>
    <w:rsid w:val="005F5C16"/>
    <w:rsid w:val="006106CA"/>
    <w:rsid w:val="006120E8"/>
    <w:rsid w:val="00612CF8"/>
    <w:rsid w:val="00634F03"/>
    <w:rsid w:val="0064593A"/>
    <w:rsid w:val="006466F9"/>
    <w:rsid w:val="00661CB9"/>
    <w:rsid w:val="00674CFD"/>
    <w:rsid w:val="006761CD"/>
    <w:rsid w:val="0067652A"/>
    <w:rsid w:val="00714777"/>
    <w:rsid w:val="00730C29"/>
    <w:rsid w:val="00735EA0"/>
    <w:rsid w:val="00736D52"/>
    <w:rsid w:val="00736EBE"/>
    <w:rsid w:val="007412CE"/>
    <w:rsid w:val="007516FE"/>
    <w:rsid w:val="007B5708"/>
    <w:rsid w:val="007B6D71"/>
    <w:rsid w:val="007E0729"/>
    <w:rsid w:val="007F3B09"/>
    <w:rsid w:val="008314C6"/>
    <w:rsid w:val="0084126F"/>
    <w:rsid w:val="00842C86"/>
    <w:rsid w:val="008577F0"/>
    <w:rsid w:val="00876037"/>
    <w:rsid w:val="0089624D"/>
    <w:rsid w:val="008978A9"/>
    <w:rsid w:val="008A5BB0"/>
    <w:rsid w:val="008C33E3"/>
    <w:rsid w:val="008C6A50"/>
    <w:rsid w:val="008D3FA2"/>
    <w:rsid w:val="009066CE"/>
    <w:rsid w:val="00917395"/>
    <w:rsid w:val="00931776"/>
    <w:rsid w:val="00932553"/>
    <w:rsid w:val="00943CB3"/>
    <w:rsid w:val="009503F6"/>
    <w:rsid w:val="00953075"/>
    <w:rsid w:val="00983DD5"/>
    <w:rsid w:val="009A738A"/>
    <w:rsid w:val="00A01BC7"/>
    <w:rsid w:val="00A149EC"/>
    <w:rsid w:val="00A340C2"/>
    <w:rsid w:val="00A91D5E"/>
    <w:rsid w:val="00A951F0"/>
    <w:rsid w:val="00A95AC9"/>
    <w:rsid w:val="00AB4118"/>
    <w:rsid w:val="00AE21B7"/>
    <w:rsid w:val="00AE47B6"/>
    <w:rsid w:val="00AF1294"/>
    <w:rsid w:val="00AF726B"/>
    <w:rsid w:val="00B53607"/>
    <w:rsid w:val="00B730F0"/>
    <w:rsid w:val="00B753F0"/>
    <w:rsid w:val="00BA1782"/>
    <w:rsid w:val="00BC038B"/>
    <w:rsid w:val="00BC09F6"/>
    <w:rsid w:val="00BF60A9"/>
    <w:rsid w:val="00BF6D15"/>
    <w:rsid w:val="00C26BDA"/>
    <w:rsid w:val="00C42017"/>
    <w:rsid w:val="00C4594C"/>
    <w:rsid w:val="00C5026A"/>
    <w:rsid w:val="00CA43D7"/>
    <w:rsid w:val="00CE2E68"/>
    <w:rsid w:val="00D14154"/>
    <w:rsid w:val="00D24E34"/>
    <w:rsid w:val="00D339E2"/>
    <w:rsid w:val="00D411B1"/>
    <w:rsid w:val="00D53FDF"/>
    <w:rsid w:val="00D54706"/>
    <w:rsid w:val="00D71626"/>
    <w:rsid w:val="00D74987"/>
    <w:rsid w:val="00D754E1"/>
    <w:rsid w:val="00D875DE"/>
    <w:rsid w:val="00D93E5F"/>
    <w:rsid w:val="00DC1FCC"/>
    <w:rsid w:val="00E10201"/>
    <w:rsid w:val="00E10B02"/>
    <w:rsid w:val="00E17001"/>
    <w:rsid w:val="00E35A94"/>
    <w:rsid w:val="00E46DDD"/>
    <w:rsid w:val="00E603FF"/>
    <w:rsid w:val="00E66809"/>
    <w:rsid w:val="00E87AF9"/>
    <w:rsid w:val="00EA0093"/>
    <w:rsid w:val="00EA7345"/>
    <w:rsid w:val="00EC754A"/>
    <w:rsid w:val="00ED5300"/>
    <w:rsid w:val="00EE0014"/>
    <w:rsid w:val="00F01DE0"/>
    <w:rsid w:val="00F054A1"/>
    <w:rsid w:val="00F12A4D"/>
    <w:rsid w:val="00F13BB6"/>
    <w:rsid w:val="00F2447B"/>
    <w:rsid w:val="00F53615"/>
    <w:rsid w:val="00FA4E80"/>
    <w:rsid w:val="01D407CC"/>
    <w:rsid w:val="02651DC9"/>
    <w:rsid w:val="02ED29BC"/>
    <w:rsid w:val="02F917F3"/>
    <w:rsid w:val="03E526FF"/>
    <w:rsid w:val="04A32402"/>
    <w:rsid w:val="056D353A"/>
    <w:rsid w:val="058B3EA7"/>
    <w:rsid w:val="06CA6BDD"/>
    <w:rsid w:val="07067F44"/>
    <w:rsid w:val="071507A5"/>
    <w:rsid w:val="075C0398"/>
    <w:rsid w:val="08233BB5"/>
    <w:rsid w:val="08456D01"/>
    <w:rsid w:val="085B4738"/>
    <w:rsid w:val="086D45A2"/>
    <w:rsid w:val="08DD78FE"/>
    <w:rsid w:val="097974A1"/>
    <w:rsid w:val="09AB6C8B"/>
    <w:rsid w:val="09FE795B"/>
    <w:rsid w:val="0A6731BB"/>
    <w:rsid w:val="0A857E27"/>
    <w:rsid w:val="0C512A32"/>
    <w:rsid w:val="0C886978"/>
    <w:rsid w:val="0D0A5DE3"/>
    <w:rsid w:val="0E402665"/>
    <w:rsid w:val="0EA40F76"/>
    <w:rsid w:val="0FCE0CDD"/>
    <w:rsid w:val="1137208D"/>
    <w:rsid w:val="11A948D4"/>
    <w:rsid w:val="130556EE"/>
    <w:rsid w:val="13887715"/>
    <w:rsid w:val="142E34B0"/>
    <w:rsid w:val="147D56E6"/>
    <w:rsid w:val="15237B9A"/>
    <w:rsid w:val="1536390C"/>
    <w:rsid w:val="15580DCB"/>
    <w:rsid w:val="1734181B"/>
    <w:rsid w:val="17367AE2"/>
    <w:rsid w:val="174E48D8"/>
    <w:rsid w:val="17590F00"/>
    <w:rsid w:val="183E69A5"/>
    <w:rsid w:val="19157289"/>
    <w:rsid w:val="19761D01"/>
    <w:rsid w:val="1B1B0018"/>
    <w:rsid w:val="1B1C2217"/>
    <w:rsid w:val="1B3538EA"/>
    <w:rsid w:val="1B3F0103"/>
    <w:rsid w:val="1B610F99"/>
    <w:rsid w:val="1D1A60D0"/>
    <w:rsid w:val="1DD62CB8"/>
    <w:rsid w:val="1EA55B0E"/>
    <w:rsid w:val="1EEF15FD"/>
    <w:rsid w:val="1EFD53FE"/>
    <w:rsid w:val="1F2E0379"/>
    <w:rsid w:val="1F416239"/>
    <w:rsid w:val="1F9460FC"/>
    <w:rsid w:val="1FA3321C"/>
    <w:rsid w:val="1FB14069"/>
    <w:rsid w:val="1FFB1C52"/>
    <w:rsid w:val="1FFF5984"/>
    <w:rsid w:val="200603BB"/>
    <w:rsid w:val="200A3608"/>
    <w:rsid w:val="20225A26"/>
    <w:rsid w:val="2029792E"/>
    <w:rsid w:val="20302F9A"/>
    <w:rsid w:val="20F83785"/>
    <w:rsid w:val="214F2B20"/>
    <w:rsid w:val="215F233D"/>
    <w:rsid w:val="216C065A"/>
    <w:rsid w:val="232277D8"/>
    <w:rsid w:val="23B50E22"/>
    <w:rsid w:val="23C33C32"/>
    <w:rsid w:val="23F327BA"/>
    <w:rsid w:val="240D174A"/>
    <w:rsid w:val="246C13D6"/>
    <w:rsid w:val="24B349F8"/>
    <w:rsid w:val="250E3D18"/>
    <w:rsid w:val="251941BC"/>
    <w:rsid w:val="26123FA3"/>
    <w:rsid w:val="263259F1"/>
    <w:rsid w:val="26684720"/>
    <w:rsid w:val="27650AA2"/>
    <w:rsid w:val="27BA073C"/>
    <w:rsid w:val="27D86064"/>
    <w:rsid w:val="2804426E"/>
    <w:rsid w:val="28047AE8"/>
    <w:rsid w:val="28A0592B"/>
    <w:rsid w:val="29083B7C"/>
    <w:rsid w:val="290B170A"/>
    <w:rsid w:val="2932653A"/>
    <w:rsid w:val="2955529B"/>
    <w:rsid w:val="296B1D69"/>
    <w:rsid w:val="2A1C0504"/>
    <w:rsid w:val="2A8D0E21"/>
    <w:rsid w:val="2BE61C91"/>
    <w:rsid w:val="2C07446D"/>
    <w:rsid w:val="2C174737"/>
    <w:rsid w:val="2C557BCC"/>
    <w:rsid w:val="2C6354CE"/>
    <w:rsid w:val="2C7165B7"/>
    <w:rsid w:val="2C9848A7"/>
    <w:rsid w:val="2CA6372A"/>
    <w:rsid w:val="2D35416B"/>
    <w:rsid w:val="2D677D46"/>
    <w:rsid w:val="2DA33C3F"/>
    <w:rsid w:val="2EED5A8F"/>
    <w:rsid w:val="2F1E164B"/>
    <w:rsid w:val="2F7E4D69"/>
    <w:rsid w:val="2F9A0337"/>
    <w:rsid w:val="30525DCE"/>
    <w:rsid w:val="30A46240"/>
    <w:rsid w:val="310727E9"/>
    <w:rsid w:val="313A6A84"/>
    <w:rsid w:val="31A340F7"/>
    <w:rsid w:val="31C10E31"/>
    <w:rsid w:val="321704B0"/>
    <w:rsid w:val="321C09BC"/>
    <w:rsid w:val="33976F51"/>
    <w:rsid w:val="33B53674"/>
    <w:rsid w:val="344D29F7"/>
    <w:rsid w:val="349E55A3"/>
    <w:rsid w:val="34C8772F"/>
    <w:rsid w:val="350E0CB3"/>
    <w:rsid w:val="35716E80"/>
    <w:rsid w:val="36420472"/>
    <w:rsid w:val="36D44E92"/>
    <w:rsid w:val="37044E4A"/>
    <w:rsid w:val="38322D39"/>
    <w:rsid w:val="387F67C4"/>
    <w:rsid w:val="39760AD1"/>
    <w:rsid w:val="3A940835"/>
    <w:rsid w:val="3B7A53B8"/>
    <w:rsid w:val="3D0866CA"/>
    <w:rsid w:val="3D757A4F"/>
    <w:rsid w:val="3D810F3F"/>
    <w:rsid w:val="3D9806A8"/>
    <w:rsid w:val="3DAB592F"/>
    <w:rsid w:val="3DB73010"/>
    <w:rsid w:val="3DBB48A7"/>
    <w:rsid w:val="3E1A5129"/>
    <w:rsid w:val="3ED94B07"/>
    <w:rsid w:val="3F0E06DF"/>
    <w:rsid w:val="3FA71060"/>
    <w:rsid w:val="4015093D"/>
    <w:rsid w:val="40780D78"/>
    <w:rsid w:val="409D3446"/>
    <w:rsid w:val="41C449AC"/>
    <w:rsid w:val="421168F3"/>
    <w:rsid w:val="430552B5"/>
    <w:rsid w:val="436041F1"/>
    <w:rsid w:val="436D369B"/>
    <w:rsid w:val="44021679"/>
    <w:rsid w:val="44321C27"/>
    <w:rsid w:val="44C51A18"/>
    <w:rsid w:val="44C80D82"/>
    <w:rsid w:val="44CC32B2"/>
    <w:rsid w:val="453C07BA"/>
    <w:rsid w:val="4576787E"/>
    <w:rsid w:val="458E2487"/>
    <w:rsid w:val="46F93B7D"/>
    <w:rsid w:val="46FD50C1"/>
    <w:rsid w:val="481134BE"/>
    <w:rsid w:val="4816399B"/>
    <w:rsid w:val="4910580D"/>
    <w:rsid w:val="496D3D95"/>
    <w:rsid w:val="4B192BFB"/>
    <w:rsid w:val="4B1F53ED"/>
    <w:rsid w:val="4B650D1F"/>
    <w:rsid w:val="4BAA0166"/>
    <w:rsid w:val="4BC164DC"/>
    <w:rsid w:val="4BDC2A80"/>
    <w:rsid w:val="4DE31FCA"/>
    <w:rsid w:val="4E2A7DD5"/>
    <w:rsid w:val="4E340E93"/>
    <w:rsid w:val="4E514C2F"/>
    <w:rsid w:val="4F1E372F"/>
    <w:rsid w:val="4F2F3751"/>
    <w:rsid w:val="4FA06A4B"/>
    <w:rsid w:val="50285826"/>
    <w:rsid w:val="50A8763E"/>
    <w:rsid w:val="51B665E9"/>
    <w:rsid w:val="52881AE2"/>
    <w:rsid w:val="5288709B"/>
    <w:rsid w:val="54083902"/>
    <w:rsid w:val="541066A1"/>
    <w:rsid w:val="55AC7284"/>
    <w:rsid w:val="5711246E"/>
    <w:rsid w:val="57392E72"/>
    <w:rsid w:val="574F3F64"/>
    <w:rsid w:val="57AC1C9B"/>
    <w:rsid w:val="57BB025E"/>
    <w:rsid w:val="57C60EE0"/>
    <w:rsid w:val="584843D7"/>
    <w:rsid w:val="587C5588"/>
    <w:rsid w:val="58962F15"/>
    <w:rsid w:val="58F50CD5"/>
    <w:rsid w:val="5B7116F9"/>
    <w:rsid w:val="5B754B29"/>
    <w:rsid w:val="5C5812BA"/>
    <w:rsid w:val="5C8403E6"/>
    <w:rsid w:val="5D110491"/>
    <w:rsid w:val="5DAD332C"/>
    <w:rsid w:val="5E062CCA"/>
    <w:rsid w:val="5E21595F"/>
    <w:rsid w:val="5E572EBD"/>
    <w:rsid w:val="5F495FD9"/>
    <w:rsid w:val="60190D92"/>
    <w:rsid w:val="60EB6680"/>
    <w:rsid w:val="610535EF"/>
    <w:rsid w:val="61967674"/>
    <w:rsid w:val="62170386"/>
    <w:rsid w:val="62341E9A"/>
    <w:rsid w:val="62957D12"/>
    <w:rsid w:val="636808CC"/>
    <w:rsid w:val="64FB1F13"/>
    <w:rsid w:val="6543523C"/>
    <w:rsid w:val="65C26AE9"/>
    <w:rsid w:val="65F66FD9"/>
    <w:rsid w:val="65FA1A98"/>
    <w:rsid w:val="665D0CF5"/>
    <w:rsid w:val="67062310"/>
    <w:rsid w:val="67576AB8"/>
    <w:rsid w:val="689E2EFE"/>
    <w:rsid w:val="68B842AE"/>
    <w:rsid w:val="68C340C4"/>
    <w:rsid w:val="692B2CDB"/>
    <w:rsid w:val="697D3A48"/>
    <w:rsid w:val="69AD3BF4"/>
    <w:rsid w:val="6A500663"/>
    <w:rsid w:val="6A510246"/>
    <w:rsid w:val="6AC75A05"/>
    <w:rsid w:val="6BA97317"/>
    <w:rsid w:val="6C7F5BF3"/>
    <w:rsid w:val="6CF468CD"/>
    <w:rsid w:val="6D5F43E7"/>
    <w:rsid w:val="6DDB5CA5"/>
    <w:rsid w:val="6E176252"/>
    <w:rsid w:val="6E6F519B"/>
    <w:rsid w:val="6FF23AB0"/>
    <w:rsid w:val="72851873"/>
    <w:rsid w:val="72D52C57"/>
    <w:rsid w:val="73177075"/>
    <w:rsid w:val="740E0243"/>
    <w:rsid w:val="74317404"/>
    <w:rsid w:val="747A2C67"/>
    <w:rsid w:val="74966A39"/>
    <w:rsid w:val="76480872"/>
    <w:rsid w:val="76C962D3"/>
    <w:rsid w:val="76E359D2"/>
    <w:rsid w:val="770119F3"/>
    <w:rsid w:val="773D4D4F"/>
    <w:rsid w:val="779B0FA6"/>
    <w:rsid w:val="7807604E"/>
    <w:rsid w:val="78B14350"/>
    <w:rsid w:val="79B96F41"/>
    <w:rsid w:val="79E26F8F"/>
    <w:rsid w:val="79EA0C99"/>
    <w:rsid w:val="79ED3D52"/>
    <w:rsid w:val="7A000ACC"/>
    <w:rsid w:val="7AA366F0"/>
    <w:rsid w:val="7B053821"/>
    <w:rsid w:val="7B2975A3"/>
    <w:rsid w:val="7B3D21EE"/>
    <w:rsid w:val="7B4B4C55"/>
    <w:rsid w:val="7B5222D4"/>
    <w:rsid w:val="7B6331C2"/>
    <w:rsid w:val="7EAE3AE2"/>
    <w:rsid w:val="7EDC5EB8"/>
    <w:rsid w:val="7EE95C36"/>
    <w:rsid w:val="7F055976"/>
    <w:rsid w:val="7F351092"/>
    <w:rsid w:val="7F5A0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alloon Text"/>
    <w:basedOn w:val="1"/>
    <w:link w:val="14"/>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FollowedHyperlink"/>
    <w:basedOn w:val="8"/>
    <w:autoRedefine/>
    <w:qFormat/>
    <w:uiPriority w:val="0"/>
    <w:rPr>
      <w:color w:val="484747"/>
      <w:u w:val="none"/>
    </w:rPr>
  </w:style>
  <w:style w:type="character" w:styleId="10">
    <w:name w:val="Emphasis"/>
    <w:basedOn w:val="8"/>
    <w:autoRedefine/>
    <w:qFormat/>
    <w:uiPriority w:val="0"/>
    <w:rPr>
      <w:i/>
    </w:rPr>
  </w:style>
  <w:style w:type="character" w:styleId="11">
    <w:name w:val="Hyperlink"/>
    <w:basedOn w:val="8"/>
    <w:autoRedefine/>
    <w:qFormat/>
    <w:uiPriority w:val="0"/>
    <w:rPr>
      <w:color w:val="484747"/>
      <w:u w:val="none"/>
    </w:rPr>
  </w:style>
  <w:style w:type="character" w:styleId="12">
    <w:name w:val="annotation reference"/>
    <w:basedOn w:val="8"/>
    <w:autoRedefine/>
    <w:qFormat/>
    <w:uiPriority w:val="0"/>
    <w:rPr>
      <w:sz w:val="21"/>
      <w:szCs w:val="21"/>
    </w:rPr>
  </w:style>
  <w:style w:type="paragraph" w:customStyle="1" w:styleId="13">
    <w:name w:val="标题1"/>
    <w:basedOn w:val="1"/>
    <w:next w:val="1"/>
    <w:autoRedefine/>
    <w:qFormat/>
    <w:uiPriority w:val="0"/>
    <w:pPr>
      <w:widowControl/>
      <w:overflowPunct w:val="0"/>
      <w:autoSpaceDE w:val="0"/>
      <w:autoSpaceDN w:val="0"/>
      <w:snapToGrid w:val="0"/>
      <w:spacing w:line="760" w:lineRule="atLeast"/>
      <w:jc w:val="center"/>
    </w:pPr>
    <w:rPr>
      <w:rFonts w:ascii="方正小标宋_GBK" w:hAnsi="Times" w:eastAsia="仿宋_GB2312"/>
      <w:sz w:val="44"/>
      <w:szCs w:val="44"/>
    </w:rPr>
  </w:style>
  <w:style w:type="character" w:customStyle="1" w:styleId="14">
    <w:name w:val="批注框文本 Char"/>
    <w:basedOn w:val="8"/>
    <w:link w:val="3"/>
    <w:autoRedefine/>
    <w:qFormat/>
    <w:uiPriority w:val="0"/>
    <w:rPr>
      <w:rFonts w:asciiTheme="minorHAnsi" w:hAnsiTheme="minorHAnsi" w:eastAsiaTheme="minorEastAsia" w:cstheme="minorBidi"/>
      <w:kern w:val="2"/>
      <w:sz w:val="18"/>
      <w:szCs w:val="18"/>
    </w:rPr>
  </w:style>
  <w:style w:type="paragraph" w:styleId="15">
    <w:name w:val="List Paragraph"/>
    <w:basedOn w:val="1"/>
    <w:autoRedefine/>
    <w:unhideWhenUsed/>
    <w:qFormat/>
    <w:uiPriority w:val="99"/>
    <w:pPr>
      <w:ind w:firstLine="420" w:firstLineChars="200"/>
    </w:pPr>
  </w:style>
  <w:style w:type="character" w:customStyle="1" w:styleId="16">
    <w:name w:val="iconxinfangtousu"/>
    <w:basedOn w:val="8"/>
    <w:autoRedefine/>
    <w:qFormat/>
    <w:uiPriority w:val="0"/>
    <w:rPr>
      <w:color w:val="EE7869"/>
    </w:rPr>
  </w:style>
  <w:style w:type="character" w:customStyle="1" w:styleId="17">
    <w:name w:val="spanleft"/>
    <w:basedOn w:val="8"/>
    <w:autoRedefine/>
    <w:qFormat/>
    <w:uiPriority w:val="0"/>
  </w:style>
  <w:style w:type="character" w:customStyle="1" w:styleId="18">
    <w:name w:val="unlink"/>
    <w:basedOn w:val="8"/>
    <w:autoRedefine/>
    <w:qFormat/>
    <w:uiPriority w:val="0"/>
    <w:rPr>
      <w:shd w:val="clear" w:color="auto" w:fill="E0E0E0"/>
    </w:rPr>
  </w:style>
  <w:style w:type="character" w:customStyle="1" w:styleId="19">
    <w:name w:val="iconhangzhengleiwuzishenqing"/>
    <w:basedOn w:val="8"/>
    <w:autoRedefine/>
    <w:qFormat/>
    <w:uiPriority w:val="0"/>
    <w:rPr>
      <w:color w:val="DEBE4A"/>
    </w:rPr>
  </w:style>
  <w:style w:type="character" w:customStyle="1" w:styleId="20">
    <w:name w:val="layui-this"/>
    <w:basedOn w:val="8"/>
    <w:autoRedefine/>
    <w:qFormat/>
    <w:uiPriority w:val="0"/>
    <w:rPr>
      <w:bdr w:val="single" w:color="EEEEEE" w:sz="4" w:space="0"/>
      <w:shd w:val="clear" w:color="auto" w:fill="FFFFFF"/>
    </w:rPr>
  </w:style>
  <w:style w:type="character" w:customStyle="1" w:styleId="21">
    <w:name w:val="first-child"/>
    <w:basedOn w:val="8"/>
    <w:autoRedefine/>
    <w:qFormat/>
    <w:uiPriority w:val="0"/>
  </w:style>
  <w:style w:type="character" w:customStyle="1" w:styleId="22">
    <w:name w:val="icontousu2"/>
    <w:basedOn w:val="8"/>
    <w:autoRedefine/>
    <w:qFormat/>
    <w:uiPriority w:val="0"/>
    <w:rPr>
      <w:color w:val="9F8CCC"/>
    </w:rPr>
  </w:style>
  <w:style w:type="character" w:customStyle="1" w:styleId="23">
    <w:name w:val="iconzhishiku1"/>
    <w:basedOn w:val="8"/>
    <w:autoRedefine/>
    <w:qFormat/>
    <w:uiPriority w:val="0"/>
    <w:rPr>
      <w:color w:val="95CA86"/>
    </w:rPr>
  </w:style>
  <w:style w:type="character" w:customStyle="1" w:styleId="24">
    <w:name w:val="iconliuyan"/>
    <w:basedOn w:val="8"/>
    <w:autoRedefine/>
    <w:qFormat/>
    <w:uiPriority w:val="0"/>
    <w:rPr>
      <w:color w:val="72B8F4"/>
    </w:rPr>
  </w:style>
  <w:style w:type="character" w:customStyle="1" w:styleId="25">
    <w:name w:val="iconduihua2"/>
    <w:basedOn w:val="8"/>
    <w:autoRedefine/>
    <w:qFormat/>
    <w:uiPriority w:val="0"/>
    <w:rPr>
      <w:color w:val="7E94E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2613</Words>
  <Characters>2636</Characters>
  <Lines>18</Lines>
  <Paragraphs>5</Paragraphs>
  <TotalTime>7</TotalTime>
  <ScaleCrop>false</ScaleCrop>
  <LinksUpToDate>false</LinksUpToDate>
  <CharactersWithSpaces>2679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2020-04-01T01:45:00Z</dcterms:created>
  <dc:creator>123</dc:creator>
  <cp:lastModifiedBy>赟</cp:lastModifiedBy>
  <cp:lastPrinted>2025-04-16T06:13:00Z</cp:lastPrinted>
  <dcterms:modified xsi:type="dcterms:W3CDTF">2025-07-31T03:11:29Z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14972777_embed</vt:lpwstr>
  </property>
  <property fmtid="{D5CDD505-2E9C-101B-9397-08002B2CF9AE}" pid="4" name="ICV">
    <vt:lpwstr>1B870C64B0F14543B930DA576B72C543_13</vt:lpwstr>
  </property>
  <property fmtid="{D5CDD505-2E9C-101B-9397-08002B2CF9AE}" pid="5" name="KSOTemplateDocerSaveRecord">
    <vt:lpwstr>eyJoZGlkIjoiYzdhYjdmZDNlOGQ0YTNjMDc5N2FjNDAxZjNhOTk3YjQiLCJ1c2VySWQiOiI3ODYwNjk1MTMifQ==</vt:lpwstr>
  </property>
</Properties>
</file>